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3" w:firstLineChars="200"/>
        <w:rPr>
          <w:sz w:val="32"/>
          <w:szCs w:val="32"/>
        </w:rPr>
      </w:pPr>
      <w:bookmarkStart w:id="0" w:name="_GoBack"/>
      <w:bookmarkEnd w:id="0"/>
      <w:r>
        <w:rPr>
          <w:rFonts w:hint="eastAsia"/>
          <w:sz w:val="32"/>
          <w:szCs w:val="32"/>
        </w:rPr>
        <w:t>现发现本版教材中有如下刊误，请已购买教材的考生核对并更正错误，出版社将在加印时修改相应表述，特此致歉！因印刷版次原因，部分加印教材已经更正，请知悉。</w:t>
      </w:r>
    </w:p>
    <w:p>
      <w:pPr>
        <w:widowControl/>
        <w:jc w:val="center"/>
        <w:rPr>
          <w:sz w:val="36"/>
          <w:szCs w:val="32"/>
        </w:rPr>
      </w:pPr>
    </w:p>
    <w:p>
      <w:pPr>
        <w:widowControl/>
        <w:jc w:val="center"/>
        <w:rPr>
          <w:sz w:val="36"/>
          <w:szCs w:val="32"/>
        </w:rPr>
      </w:pPr>
      <w:r>
        <w:rPr>
          <w:rFonts w:hint="eastAsia"/>
          <w:sz w:val="36"/>
          <w:szCs w:val="32"/>
        </w:rPr>
        <w:t>《银行业法律法规与综合能力》（初、中级适用）</w:t>
      </w:r>
      <w:r>
        <w:rPr>
          <w:sz w:val="36"/>
          <w:szCs w:val="32"/>
        </w:rPr>
        <w:br w:type="textWrapping"/>
      </w:r>
      <w:r>
        <w:rPr>
          <w:sz w:val="36"/>
          <w:szCs w:val="32"/>
        </w:rPr>
        <w:t>2021</w:t>
      </w:r>
      <w:r>
        <w:rPr>
          <w:rFonts w:hint="eastAsia"/>
          <w:sz w:val="36"/>
          <w:szCs w:val="32"/>
        </w:rPr>
        <w:t>年版更正</w:t>
      </w:r>
    </w:p>
    <w:p>
      <w:pPr>
        <w:widowControl/>
        <w:jc w:val="center"/>
        <w:rPr>
          <w:sz w:val="36"/>
          <w:szCs w:val="32"/>
        </w:rPr>
      </w:pPr>
    </w:p>
    <w:p>
      <w:pPr>
        <w:widowControl/>
        <w:numPr>
          <w:ilvl w:val="0"/>
          <w:numId w:val="1"/>
        </w:numPr>
        <w:jc w:val="left"/>
      </w:pPr>
      <w:r>
        <w:t>29</w:t>
      </w:r>
      <w:r>
        <w:rPr>
          <w:rFonts w:hint="eastAsia"/>
        </w:rPr>
        <w:t>页，抵押补充贷款（</w:t>
      </w:r>
      <w:r>
        <w:t>PSL</w:t>
      </w:r>
      <w:r>
        <w:rPr>
          <w:rFonts w:hint="eastAsia"/>
        </w:rPr>
        <w:t>）后面加上定向中期便利（</w:t>
      </w:r>
      <w:r>
        <w:t>TMLF</w:t>
      </w:r>
      <w:r>
        <w:rPr>
          <w:rFonts w:hint="eastAsia"/>
        </w:rPr>
        <w:t>）。</w:t>
      </w:r>
    </w:p>
    <w:p>
      <w:pPr>
        <w:widowControl/>
        <w:jc w:val="left"/>
      </w:pPr>
      <w:r>
        <w:drawing>
          <wp:inline distT="0" distB="0" distL="0" distR="0">
            <wp:extent cx="5267325" cy="1895475"/>
            <wp:effectExtent l="0" t="0" r="9525" b="9525"/>
            <wp:docPr id="11" name="图片 11" descr="1621842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1842059(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67325" cy="1895475"/>
                    </a:xfrm>
                    <a:prstGeom prst="rect">
                      <a:avLst/>
                    </a:prstGeom>
                    <a:noFill/>
                    <a:ln>
                      <a:noFill/>
                    </a:ln>
                  </pic:spPr>
                </pic:pic>
              </a:graphicData>
            </a:graphic>
          </wp:inline>
        </w:drawing>
      </w:r>
    </w:p>
    <w:p>
      <w:pPr>
        <w:widowControl/>
        <w:jc w:val="left"/>
      </w:pPr>
    </w:p>
    <w:p>
      <w:pPr>
        <w:widowControl/>
        <w:jc w:val="left"/>
      </w:pPr>
    </w:p>
    <w:p>
      <w:pPr>
        <w:widowControl/>
        <w:numPr>
          <w:ilvl w:val="0"/>
          <w:numId w:val="1"/>
        </w:numPr>
        <w:jc w:val="left"/>
      </w:pPr>
      <w:r>
        <w:rPr>
          <w:rFonts w:hint="eastAsia"/>
        </w:rPr>
        <w:t>第</w:t>
      </w:r>
      <w:r>
        <w:t>123</w:t>
      </w:r>
      <w:r>
        <w:rPr>
          <w:rFonts w:hint="eastAsia"/>
        </w:rPr>
        <w:t>页</w:t>
      </w:r>
      <w:r>
        <w:t xml:space="preserve">  PV</w:t>
      </w:r>
      <w:r>
        <w:rPr>
          <w:rFonts w:hint="eastAsia"/>
        </w:rPr>
        <w:t>（债券当前市场价格）计算公式有误，修正为：</w:t>
      </w:r>
    </w:p>
    <w:p>
      <w:pPr>
        <w:rPr>
          <w:rFonts w:ascii="仿宋" w:hAnsi="仿宋" w:eastAsia="仿宋" w:cs="仿宋"/>
          <w:sz w:val="24"/>
          <w:vertAlign w:val="superscript"/>
        </w:rPr>
      </w:pPr>
    </w:p>
    <w:p>
      <w:pPr>
        <w:rPr>
          <w:rFonts w:ascii="仿宋" w:hAnsi="仿宋" w:eastAsia="仿宋" w:cs="仿宋"/>
          <w:sz w:val="24"/>
          <w:vertAlign w:val="superscript"/>
        </w:rPr>
      </w:pPr>
      <w:r>
        <w:rPr>
          <w:rFonts w:ascii="仿宋" w:hAnsi="仿宋" w:eastAsia="仿宋" w:cs="仿宋"/>
          <w:sz w:val="24"/>
          <w:vertAlign w:val="superscript"/>
        </w:rPr>
        <w:drawing>
          <wp:inline distT="0" distB="0" distL="0" distR="0">
            <wp:extent cx="5274310" cy="1618615"/>
            <wp:effectExtent l="0" t="0" r="2540" b="635"/>
            <wp:docPr id="10" name="图片 10" descr="1621911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2191110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1618615"/>
                    </a:xfrm>
                    <a:prstGeom prst="rect">
                      <a:avLst/>
                    </a:prstGeom>
                    <a:noFill/>
                    <a:ln>
                      <a:noFill/>
                    </a:ln>
                  </pic:spPr>
                </pic:pic>
              </a:graphicData>
            </a:graphic>
          </wp:inline>
        </w:drawing>
      </w:r>
    </w:p>
    <w:p>
      <w:pPr>
        <w:widowControl/>
        <w:jc w:val="center"/>
        <w:rPr>
          <w:sz w:val="36"/>
          <w:szCs w:val="32"/>
        </w:rPr>
      </w:pPr>
      <w:r>
        <w:rPr>
          <w:rFonts w:hint="eastAsia"/>
          <w:sz w:val="36"/>
          <w:szCs w:val="32"/>
        </w:rPr>
        <w:t>《个人贷款》（初、中级适用）</w:t>
      </w:r>
      <w:r>
        <w:rPr>
          <w:sz w:val="36"/>
          <w:szCs w:val="32"/>
        </w:rPr>
        <w:t>2021</w:t>
      </w:r>
      <w:r>
        <w:rPr>
          <w:rFonts w:hint="eastAsia"/>
          <w:sz w:val="36"/>
          <w:szCs w:val="32"/>
        </w:rPr>
        <w:t>年版更正</w:t>
      </w:r>
    </w:p>
    <w:p>
      <w:pPr>
        <w:widowControl/>
        <w:jc w:val="center"/>
        <w:rPr>
          <w:sz w:val="36"/>
          <w:szCs w:val="32"/>
        </w:rPr>
      </w:pPr>
    </w:p>
    <w:p>
      <w:pPr>
        <w:pStyle w:val="8"/>
        <w:numPr>
          <w:ilvl w:val="0"/>
          <w:numId w:val="2"/>
        </w:numPr>
        <w:ind w:firstLineChars="0"/>
        <w:rPr>
          <w:sz w:val="32"/>
          <w:szCs w:val="32"/>
        </w:rPr>
      </w:pPr>
      <w:r>
        <w:rPr>
          <w:rFonts w:hint="eastAsia"/>
        </w:rPr>
        <w:t>第</w:t>
      </w:r>
      <w:r>
        <w:t>145</w:t>
      </w:r>
      <w:r>
        <w:rPr>
          <w:rFonts w:hint="eastAsia"/>
        </w:rPr>
        <w:t>页</w:t>
      </w:r>
      <w:r>
        <w:t>4.2.1</w:t>
      </w:r>
      <w:r>
        <w:rPr>
          <w:rFonts w:hint="eastAsia"/>
        </w:rPr>
        <w:t>一节中（</w:t>
      </w:r>
      <w:r>
        <w:t>4</w:t>
      </w:r>
      <w:r>
        <w:rPr>
          <w:rFonts w:hint="eastAsia"/>
        </w:rPr>
        <w:t>）还款方式……还本宽限期最长</w:t>
      </w:r>
      <w:r>
        <w:t>3</w:t>
      </w:r>
      <w:r>
        <w:rPr>
          <w:rFonts w:hint="eastAsia"/>
        </w:rPr>
        <w:t>年。改为：还本宽限期最长</w:t>
      </w:r>
      <w:r>
        <w:t>5</w:t>
      </w:r>
      <w:r>
        <w:rPr>
          <w:rFonts w:hint="eastAsia"/>
        </w:rPr>
        <w:t>年。改后页面如下：</w:t>
      </w:r>
    </w:p>
    <w:p>
      <w:pPr>
        <w:pStyle w:val="8"/>
        <w:tabs>
          <w:tab w:val="left" w:pos="312"/>
        </w:tabs>
        <w:ind w:left="420" w:firstLine="0" w:firstLineChars="0"/>
        <w:rPr>
          <w:sz w:val="32"/>
          <w:szCs w:val="32"/>
        </w:rPr>
      </w:pPr>
      <w:r>
        <w:drawing>
          <wp:inline distT="0" distB="0" distL="0" distR="0">
            <wp:extent cx="5274310" cy="1018540"/>
            <wp:effectExtent l="0" t="0" r="2540" b="0"/>
            <wp:docPr id="9" name="图片 9" descr="1626850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2685039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1018540"/>
                    </a:xfrm>
                    <a:prstGeom prst="rect">
                      <a:avLst/>
                    </a:prstGeom>
                    <a:noFill/>
                    <a:ln>
                      <a:noFill/>
                    </a:ln>
                  </pic:spPr>
                </pic:pic>
              </a:graphicData>
            </a:graphic>
          </wp:inline>
        </w:drawing>
      </w:r>
    </w:p>
    <w:p>
      <w:pPr>
        <w:pStyle w:val="8"/>
        <w:numPr>
          <w:ilvl w:val="0"/>
          <w:numId w:val="2"/>
        </w:numPr>
        <w:ind w:firstLineChars="0"/>
        <w:rPr>
          <w:sz w:val="32"/>
          <w:szCs w:val="32"/>
        </w:rPr>
      </w:pPr>
      <w:r>
        <w:rPr>
          <w:rFonts w:hint="eastAsia"/>
        </w:rPr>
        <w:t>第</w:t>
      </w:r>
      <w:r>
        <w:t>172</w:t>
      </w:r>
      <w:r>
        <w:rPr>
          <w:rFonts w:hint="eastAsia"/>
        </w:rPr>
        <w:t>页</w:t>
      </w:r>
      <w:r>
        <w:t xml:space="preserve"> 5.2.1</w:t>
      </w:r>
      <w:r>
        <w:rPr>
          <w:rFonts w:hint="eastAsia"/>
        </w:rPr>
        <w:t>一节中（六）贷款额度</w:t>
      </w:r>
      <w:r>
        <w:t xml:space="preserve"> </w:t>
      </w:r>
      <w:r>
        <w:rPr>
          <w:rFonts w:hint="eastAsia"/>
        </w:rPr>
        <w:t>……所购商用房为商住两用房的，贷款额度不得超过所购商用房价值的</w:t>
      </w:r>
      <w:r>
        <w:t>45%</w:t>
      </w:r>
      <w:r>
        <w:rPr>
          <w:rFonts w:hint="eastAsia"/>
        </w:rPr>
        <w:t>。改为：贷款额度不得超过所购商用房价值的</w:t>
      </w:r>
      <w:r>
        <w:t>55%</w:t>
      </w:r>
      <w:r>
        <w:rPr>
          <w:rFonts w:hint="eastAsia"/>
        </w:rPr>
        <w:t>。改后页面如下：</w:t>
      </w:r>
    </w:p>
    <w:p>
      <w:pPr>
        <w:rPr>
          <w:sz w:val="32"/>
          <w:szCs w:val="32"/>
        </w:rPr>
      </w:pPr>
      <w:r>
        <w:rPr>
          <w:sz w:val="32"/>
          <w:szCs w:val="32"/>
        </w:rPr>
        <w:drawing>
          <wp:inline distT="0" distB="0" distL="0" distR="0">
            <wp:extent cx="5267325" cy="8572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7325" cy="857250"/>
                    </a:xfrm>
                    <a:prstGeom prst="rect">
                      <a:avLst/>
                    </a:prstGeom>
                    <a:noFill/>
                    <a:ln>
                      <a:noFill/>
                    </a:ln>
                  </pic:spPr>
                </pic:pic>
              </a:graphicData>
            </a:graphic>
          </wp:inline>
        </w:drawing>
      </w:r>
    </w:p>
    <w:p>
      <w:pPr>
        <w:numPr>
          <w:ilvl w:val="0"/>
          <w:numId w:val="3"/>
        </w:numPr>
      </w:pPr>
      <w:r>
        <w:rPr>
          <w:rFonts w:hint="eastAsia"/>
        </w:rPr>
        <w:t>第222页，将“指单户授信小于100万元或单户贷款合同金额且贷款在100万元以下的贷款”改为“指单户授信小于1000万元或单户贷款合同金额且贷款在1000万元以下的贷款”，改后页面如下：</w:t>
      </w:r>
    </w:p>
    <w:p>
      <w:r>
        <w:rPr>
          <w:rFonts w:hint="eastAsia"/>
        </w:rPr>
        <w:drawing>
          <wp:inline distT="0" distB="0" distL="114300" distR="114300">
            <wp:extent cx="5266690" cy="1885950"/>
            <wp:effectExtent l="0" t="0" r="10160" b="0"/>
            <wp:docPr id="16" name="图片 16" descr="1648178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48178744(1)"/>
                    <pic:cNvPicPr>
                      <a:picLocks noChangeAspect="1"/>
                    </pic:cNvPicPr>
                  </pic:nvPicPr>
                  <pic:blipFill>
                    <a:blip r:embed="rId8"/>
                    <a:stretch>
                      <a:fillRect/>
                    </a:stretch>
                  </pic:blipFill>
                  <pic:spPr>
                    <a:xfrm>
                      <a:off x="0" y="0"/>
                      <a:ext cx="5266690" cy="1885950"/>
                    </a:xfrm>
                    <a:prstGeom prst="rect">
                      <a:avLst/>
                    </a:prstGeom>
                  </pic:spPr>
                </pic:pic>
              </a:graphicData>
            </a:graphic>
          </wp:inline>
        </w:drawing>
      </w:r>
    </w:p>
    <w:p>
      <w:pPr>
        <w:rPr>
          <w:sz w:val="32"/>
          <w:szCs w:val="32"/>
        </w:rPr>
      </w:pPr>
    </w:p>
    <w:p>
      <w:pPr>
        <w:rPr>
          <w:sz w:val="32"/>
          <w:szCs w:val="32"/>
        </w:rPr>
      </w:pPr>
    </w:p>
    <w:p>
      <w:pPr>
        <w:pStyle w:val="8"/>
        <w:numPr>
          <w:ilvl w:val="0"/>
          <w:numId w:val="3"/>
        </w:numPr>
        <w:ind w:firstLineChars="0"/>
      </w:pPr>
      <w:r>
        <w:rPr>
          <w:rFonts w:hint="eastAsia"/>
        </w:rPr>
        <w:t>第</w:t>
      </w:r>
      <w:r>
        <w:t>241</w:t>
      </w:r>
      <w:r>
        <w:rPr>
          <w:rFonts w:hint="eastAsia"/>
        </w:rPr>
        <w:t>页</w:t>
      </w:r>
      <w:r>
        <w:t xml:space="preserve"> 8.2.4</w:t>
      </w:r>
      <w:r>
        <w:rPr>
          <w:rFonts w:hint="eastAsia"/>
        </w:rPr>
        <w:t>一节中个人信用报告的信息主要组成方面由七个改为六个，删掉原“公安部身份信息核查结果”。改后页面如下：</w:t>
      </w:r>
      <w:r>
        <w:drawing>
          <wp:inline distT="0" distB="0" distL="0" distR="0">
            <wp:extent cx="5274310" cy="5417185"/>
            <wp:effectExtent l="0" t="0" r="2540" b="0"/>
            <wp:docPr id="7" name="图片 7" descr="1621838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2183858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5417185"/>
                    </a:xfrm>
                    <a:prstGeom prst="rect">
                      <a:avLst/>
                    </a:prstGeom>
                    <a:noFill/>
                    <a:ln>
                      <a:noFill/>
                    </a:ln>
                  </pic:spPr>
                </pic:pic>
              </a:graphicData>
            </a:graphic>
          </wp:inline>
        </w:drawing>
      </w:r>
    </w:p>
    <w:p>
      <w:pPr>
        <w:widowControl/>
        <w:jc w:val="center"/>
        <w:rPr>
          <w:sz w:val="36"/>
          <w:szCs w:val="32"/>
        </w:rPr>
      </w:pPr>
    </w:p>
    <w:p>
      <w:pPr>
        <w:widowControl/>
        <w:jc w:val="center"/>
        <w:rPr>
          <w:sz w:val="36"/>
          <w:szCs w:val="32"/>
        </w:rPr>
      </w:pPr>
    </w:p>
    <w:p>
      <w:pPr>
        <w:widowControl/>
        <w:jc w:val="center"/>
        <w:rPr>
          <w:sz w:val="36"/>
          <w:szCs w:val="32"/>
        </w:rPr>
      </w:pPr>
    </w:p>
    <w:p>
      <w:pPr>
        <w:widowControl/>
        <w:jc w:val="center"/>
        <w:rPr>
          <w:sz w:val="36"/>
          <w:szCs w:val="32"/>
        </w:rPr>
      </w:pPr>
    </w:p>
    <w:p>
      <w:pPr>
        <w:widowControl/>
        <w:jc w:val="center"/>
        <w:rPr>
          <w:sz w:val="36"/>
          <w:szCs w:val="32"/>
        </w:rPr>
      </w:pPr>
    </w:p>
    <w:p>
      <w:pPr>
        <w:widowControl/>
        <w:jc w:val="center"/>
        <w:rPr>
          <w:sz w:val="36"/>
          <w:szCs w:val="32"/>
        </w:rPr>
      </w:pPr>
    </w:p>
    <w:p>
      <w:pPr>
        <w:widowControl/>
        <w:jc w:val="center"/>
        <w:rPr>
          <w:sz w:val="36"/>
          <w:szCs w:val="32"/>
        </w:rPr>
      </w:pPr>
      <w:r>
        <w:rPr>
          <w:rFonts w:hint="eastAsia"/>
          <w:sz w:val="36"/>
          <w:szCs w:val="32"/>
        </w:rPr>
        <w:t>《个人理财》（初级）</w:t>
      </w:r>
      <w:r>
        <w:rPr>
          <w:sz w:val="36"/>
          <w:szCs w:val="32"/>
        </w:rPr>
        <w:t>2021</w:t>
      </w:r>
      <w:r>
        <w:rPr>
          <w:rFonts w:hint="eastAsia"/>
          <w:sz w:val="36"/>
          <w:szCs w:val="32"/>
        </w:rPr>
        <w:t>年版更正</w:t>
      </w:r>
    </w:p>
    <w:p>
      <w:pPr>
        <w:widowControl/>
        <w:jc w:val="center"/>
        <w:rPr>
          <w:sz w:val="36"/>
          <w:szCs w:val="32"/>
        </w:rPr>
      </w:pPr>
    </w:p>
    <w:p>
      <w:pPr>
        <w:pStyle w:val="8"/>
        <w:widowControl/>
        <w:numPr>
          <w:ilvl w:val="0"/>
          <w:numId w:val="4"/>
        </w:numPr>
        <w:ind w:firstLineChars="0"/>
        <w:jc w:val="left"/>
      </w:pPr>
      <w:r>
        <w:rPr>
          <w:rFonts w:hint="eastAsia"/>
        </w:rPr>
        <w:t>第11页，将“合理避税”改为“进行税务筹划”，改后页面如下：</w:t>
      </w:r>
    </w:p>
    <w:p>
      <w:pPr>
        <w:widowControl/>
        <w:jc w:val="left"/>
      </w:pPr>
      <w:r>
        <w:rPr>
          <w:rFonts w:ascii="宋体" w:hAnsi="宋体" w:cs="宋体"/>
          <w:kern w:val="0"/>
          <w:sz w:val="24"/>
          <w:lang w:bidi="ar"/>
        </w:rPr>
        <w:drawing>
          <wp:inline distT="0" distB="0" distL="114300" distR="114300">
            <wp:extent cx="5302885" cy="2600325"/>
            <wp:effectExtent l="0" t="0" r="12065" b="952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0"/>
                    <a:stretch>
                      <a:fillRect/>
                    </a:stretch>
                  </pic:blipFill>
                  <pic:spPr>
                    <a:xfrm>
                      <a:off x="0" y="0"/>
                      <a:ext cx="5302885" cy="2600325"/>
                    </a:xfrm>
                    <a:prstGeom prst="rect">
                      <a:avLst/>
                    </a:prstGeom>
                    <a:noFill/>
                    <a:ln w="9525">
                      <a:noFill/>
                    </a:ln>
                  </pic:spPr>
                </pic:pic>
              </a:graphicData>
            </a:graphic>
          </wp:inline>
        </w:drawing>
      </w:r>
    </w:p>
    <w:p/>
    <w:p>
      <w:pPr>
        <w:pStyle w:val="8"/>
        <w:numPr>
          <w:ilvl w:val="0"/>
          <w:numId w:val="4"/>
        </w:numPr>
        <w:ind w:firstLineChars="0"/>
      </w:pPr>
      <w:r>
        <w:rPr>
          <w:rFonts w:hint="eastAsia"/>
        </w:rPr>
        <w:t>第16页，将“合理避税”改为“税务筹划”，改后页面如下：</w:t>
      </w:r>
    </w:p>
    <w:p>
      <w:pPr>
        <w:widowControl/>
        <w:jc w:val="left"/>
      </w:pPr>
      <w:r>
        <w:rPr>
          <w:rFonts w:ascii="宋体" w:hAnsi="宋体" w:cs="宋体"/>
          <w:kern w:val="0"/>
          <w:sz w:val="24"/>
          <w:lang w:bidi="ar"/>
        </w:rPr>
        <w:drawing>
          <wp:inline distT="0" distB="0" distL="114300" distR="114300">
            <wp:extent cx="5302885" cy="1096645"/>
            <wp:effectExtent l="0" t="0" r="12065" b="825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1"/>
                    <a:stretch>
                      <a:fillRect/>
                    </a:stretch>
                  </pic:blipFill>
                  <pic:spPr>
                    <a:xfrm>
                      <a:off x="0" y="0"/>
                      <a:ext cx="5302885" cy="1096645"/>
                    </a:xfrm>
                    <a:prstGeom prst="rect">
                      <a:avLst/>
                    </a:prstGeom>
                    <a:noFill/>
                    <a:ln w="9525">
                      <a:noFill/>
                    </a:ln>
                  </pic:spPr>
                </pic:pic>
              </a:graphicData>
            </a:graphic>
          </wp:inline>
        </w:drawing>
      </w:r>
    </w:p>
    <w:p>
      <w:pPr>
        <w:numPr>
          <w:ilvl w:val="0"/>
          <w:numId w:val="4"/>
        </w:numPr>
      </w:pPr>
      <w:r>
        <w:rPr>
          <w:rFonts w:hint="eastAsia"/>
        </w:rPr>
        <w:t>第46页，将“有”改为“由”，改后页面如下：</w:t>
      </w:r>
    </w:p>
    <w:p>
      <w:r>
        <w:rPr>
          <w:rFonts w:hint="eastAsia"/>
        </w:rPr>
        <w:drawing>
          <wp:inline distT="0" distB="0" distL="114300" distR="114300">
            <wp:extent cx="5302885" cy="661670"/>
            <wp:effectExtent l="0" t="0" r="12065" b="5080"/>
            <wp:docPr id="6" name="图片 6" descr="164620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6202765(1)"/>
                    <pic:cNvPicPr>
                      <a:picLocks noChangeAspect="1"/>
                    </pic:cNvPicPr>
                  </pic:nvPicPr>
                  <pic:blipFill>
                    <a:blip r:embed="rId12"/>
                    <a:stretch>
                      <a:fillRect/>
                    </a:stretch>
                  </pic:blipFill>
                  <pic:spPr>
                    <a:xfrm>
                      <a:off x="0" y="0"/>
                      <a:ext cx="5302885" cy="661670"/>
                    </a:xfrm>
                    <a:prstGeom prst="rect">
                      <a:avLst/>
                    </a:prstGeom>
                  </pic:spPr>
                </pic:pic>
              </a:graphicData>
            </a:graphic>
          </wp:inline>
        </w:drawing>
      </w:r>
    </w:p>
    <w:p>
      <w:pPr>
        <w:numPr>
          <w:ilvl w:val="0"/>
          <w:numId w:val="4"/>
        </w:numPr>
      </w:pPr>
      <w:r>
        <w:rPr>
          <w:rFonts w:hint="eastAsia"/>
        </w:rPr>
        <w:t>第98页，将“一板、二板市场均为场内市场，三板、四板市场为场外市场。”删除，改后页面如下：</w:t>
      </w:r>
    </w:p>
    <w:p>
      <w:r>
        <w:rPr>
          <w:rFonts w:hint="eastAsia"/>
        </w:rPr>
        <w:drawing>
          <wp:inline distT="0" distB="0" distL="114300" distR="114300">
            <wp:extent cx="5302885" cy="5718175"/>
            <wp:effectExtent l="0" t="0" r="12065" b="15875"/>
            <wp:docPr id="14" name="图片 14" descr="1646198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6198347(1)"/>
                    <pic:cNvPicPr>
                      <a:picLocks noChangeAspect="1"/>
                    </pic:cNvPicPr>
                  </pic:nvPicPr>
                  <pic:blipFill>
                    <a:blip r:embed="rId13"/>
                    <a:stretch>
                      <a:fillRect/>
                    </a:stretch>
                  </pic:blipFill>
                  <pic:spPr>
                    <a:xfrm>
                      <a:off x="0" y="0"/>
                      <a:ext cx="5302885" cy="5718175"/>
                    </a:xfrm>
                    <a:prstGeom prst="rect">
                      <a:avLst/>
                    </a:prstGeom>
                  </pic:spPr>
                </pic:pic>
              </a:graphicData>
            </a:graphic>
          </wp:inline>
        </w:drawing>
      </w:r>
    </w:p>
    <w:p>
      <w:pPr>
        <w:numPr>
          <w:ilvl w:val="0"/>
          <w:numId w:val="4"/>
        </w:numPr>
      </w:pPr>
      <w:r>
        <w:rPr>
          <w:rFonts w:hint="eastAsia"/>
        </w:rPr>
        <w:t>将99页“从交易规则来看.......只能一次性卖出”替换为“为支持中小企业创新发展，深化新三板改革，2021年9月3日北京证券交易所（以下简称北交所）注册成立，成为我国第一家公司制证券交易所。北交所的发展目标在于培育一批专精特新中小企业，构建一套契合创新型中小企业特点的涵盖发行上市、交易、退市、持续监管、投资者适当性管理等基础制度安排，补足多层次资本市场发展普惠金融的短板。</w:t>
      </w:r>
    </w:p>
    <w:p>
      <w:pPr>
        <w:ind w:firstLine="562" w:firstLineChars="200"/>
      </w:pPr>
      <w:r>
        <w:rPr>
          <w:rFonts w:hint="eastAsia"/>
        </w:rPr>
        <w:t>交易规则方面：一是北交所股票可以采取竞价交易、大宗交易、协议转让等交易方式；二是竞价交易涨跌幅限制为30%，上市首日不设涨跌幅限制，上市首日跌涨幅达到或超过30%、60%时，将临时停牌10分钟，复牌时进行集合竞价；三是竞价交易的单笔申报最低为100股，超过100股的申报以1股为单位递增，卖出股票时余额不足100股是不能分开卖出，需要一次性申报卖出。</w:t>
      </w:r>
    </w:p>
    <w:p>
      <w:pPr>
        <w:ind w:firstLine="562" w:firstLineChars="200"/>
      </w:pPr>
      <w:r>
        <w:rPr>
          <w:rFonts w:hint="eastAsia"/>
        </w:rPr>
        <w:t>个人投资者参与北交所投资交易的条件包括在申请北交所开户之前的20个交易日日均资产达到50万元及以上，并且需要有2年及以上的证券交易经验。”改后页面如下：</w:t>
      </w:r>
    </w:p>
    <w:p>
      <w:r>
        <w:rPr>
          <w:rFonts w:hint="eastAsia"/>
        </w:rPr>
        <w:drawing>
          <wp:inline distT="0" distB="0" distL="114300" distR="114300">
            <wp:extent cx="5271135" cy="4130040"/>
            <wp:effectExtent l="0" t="0" r="5715" b="3810"/>
            <wp:docPr id="5" name="图片 5" descr="1646198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46198453(1)"/>
                    <pic:cNvPicPr>
                      <a:picLocks noChangeAspect="1"/>
                    </pic:cNvPicPr>
                  </pic:nvPicPr>
                  <pic:blipFill>
                    <a:blip r:embed="rId14"/>
                    <a:stretch>
                      <a:fillRect/>
                    </a:stretch>
                  </pic:blipFill>
                  <pic:spPr>
                    <a:xfrm>
                      <a:off x="0" y="0"/>
                      <a:ext cx="5271135" cy="4130040"/>
                    </a:xfrm>
                    <a:prstGeom prst="rect">
                      <a:avLst/>
                    </a:prstGeom>
                  </pic:spPr>
                </pic:pic>
              </a:graphicData>
            </a:graphic>
          </wp:inline>
        </w:drawing>
      </w:r>
    </w:p>
    <w:p>
      <w:pPr>
        <w:pStyle w:val="8"/>
        <w:widowControl/>
        <w:numPr>
          <w:ilvl w:val="0"/>
          <w:numId w:val="4"/>
        </w:numPr>
        <w:ind w:firstLineChars="0"/>
        <w:jc w:val="left"/>
      </w:pPr>
      <w:r>
        <w:rPr>
          <w:rFonts w:hint="eastAsia"/>
        </w:rPr>
        <w:t>第189页，将“10年”改为“20年”，改后页面如下：</w:t>
      </w:r>
      <w:r>
        <w:rPr>
          <w:rFonts w:ascii="宋体" w:hAnsi="宋体" w:cs="宋体"/>
          <w:kern w:val="0"/>
          <w:sz w:val="24"/>
          <w:lang w:bidi="ar"/>
        </w:rPr>
        <w:drawing>
          <wp:inline distT="0" distB="0" distL="114300" distR="114300">
            <wp:extent cx="5591175" cy="1057275"/>
            <wp:effectExtent l="0" t="0" r="9525" b="9525"/>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5"/>
                    <a:stretch>
                      <a:fillRect/>
                    </a:stretch>
                  </pic:blipFill>
                  <pic:spPr>
                    <a:xfrm>
                      <a:off x="0" y="0"/>
                      <a:ext cx="5591175" cy="1057275"/>
                    </a:xfrm>
                    <a:prstGeom prst="rect">
                      <a:avLst/>
                    </a:prstGeom>
                    <a:noFill/>
                    <a:ln w="9525">
                      <a:noFill/>
                    </a:ln>
                  </pic:spPr>
                </pic:pic>
              </a:graphicData>
            </a:graphic>
          </wp:inline>
        </w:drawing>
      </w:r>
    </w:p>
    <w:p>
      <w:pPr>
        <w:widowControl/>
        <w:jc w:val="center"/>
        <w:rPr>
          <w:sz w:val="36"/>
          <w:szCs w:val="32"/>
        </w:rPr>
      </w:pPr>
      <w:r>
        <w:rPr>
          <w:rFonts w:hint="eastAsia"/>
          <w:sz w:val="36"/>
          <w:szCs w:val="32"/>
        </w:rPr>
        <w:t>《个人理财》（中级）</w:t>
      </w:r>
      <w:r>
        <w:rPr>
          <w:sz w:val="36"/>
          <w:szCs w:val="32"/>
        </w:rPr>
        <w:t>2021</w:t>
      </w:r>
      <w:r>
        <w:rPr>
          <w:rFonts w:hint="eastAsia"/>
          <w:sz w:val="36"/>
          <w:szCs w:val="32"/>
        </w:rPr>
        <w:t>年版更正</w:t>
      </w:r>
    </w:p>
    <w:p>
      <w:pPr>
        <w:pStyle w:val="8"/>
        <w:widowControl/>
        <w:numPr>
          <w:ilvl w:val="0"/>
          <w:numId w:val="5"/>
        </w:numPr>
        <w:ind w:firstLineChars="0"/>
        <w:jc w:val="left"/>
      </w:pPr>
      <w:r>
        <w:rPr>
          <w:rFonts w:hint="eastAsia"/>
        </w:rPr>
        <w:t>第</w:t>
      </w:r>
      <w:r>
        <w:t>58</w:t>
      </w:r>
      <w:r>
        <w:rPr>
          <w:rFonts w:hint="eastAsia"/>
        </w:rPr>
        <w:t>页【例</w:t>
      </w:r>
      <w:r>
        <w:t>2-1</w:t>
      </w:r>
      <w:r>
        <w:rPr>
          <w:rFonts w:hint="eastAsia"/>
        </w:rPr>
        <w:t>】</w:t>
      </w:r>
    </w:p>
    <w:p>
      <w:pPr>
        <w:widowControl/>
        <w:jc w:val="left"/>
      </w:pPr>
      <w:r>
        <w:rPr>
          <w:rFonts w:hint="eastAsia"/>
        </w:rPr>
        <w:t>（</w:t>
      </w:r>
      <w:r>
        <w:t>1</w:t>
      </w:r>
      <w:r>
        <w:rPr>
          <w:rFonts w:hint="eastAsia"/>
        </w:rPr>
        <w:t>）未来收入现值增加具体数值计算步骤：</w:t>
      </w:r>
    </w:p>
    <w:p>
      <w:pPr>
        <w:widowControl/>
        <w:jc w:val="left"/>
        <w:rPr>
          <w:rFonts w:hAnsi="Cambria Math"/>
          <w:b w:val="0"/>
          <w:bCs/>
        </w:rPr>
      </w:pPr>
      <m:oMathPara>
        <m:oMath>
          <m:r>
            <m:rPr>
              <m:sty m:val="b"/>
            </m:rPr>
            <w:rPr>
              <w:rFonts w:ascii="Cambria Math" w:hAnsi="Cambria Math"/>
            </w:rPr>
            <m:t>PV=</m:t>
          </m:r>
          <m:f>
            <m:fPr>
              <m:ctrlPr>
                <w:rPr>
                  <w:rFonts w:ascii="Cambria Math" w:hAnsi="Cambria Math"/>
                  <w:bCs/>
                </w:rPr>
              </m:ctrlPr>
            </m:fPr>
            <m:num>
              <m:r>
                <m:rPr>
                  <m:sty m:val="b"/>
                </m:rPr>
                <w:rPr>
                  <w:rFonts w:ascii="Cambria Math" w:hAnsi="Cambria Math"/>
                </w:rPr>
                <m:t>C</m:t>
              </m:r>
              <m:ctrlPr>
                <w:rPr>
                  <w:rFonts w:ascii="Cambria Math" w:hAnsi="Cambria Math"/>
                  <w:bCs/>
                </w:rPr>
              </m:ctrlPr>
            </m:num>
            <m:den>
              <m:r>
                <m:rPr>
                  <m:sty m:val="b"/>
                </m:rPr>
                <w:rPr>
                  <w:rFonts w:ascii="Cambria Math" w:hAnsi="Cambria Math"/>
                </w:rPr>
                <m:t>r−g</m:t>
              </m:r>
              <m:ctrlPr>
                <w:rPr>
                  <w:rFonts w:ascii="Cambria Math" w:hAnsi="Cambria Math"/>
                  <w:bCs/>
                </w:rPr>
              </m:ctrlPr>
            </m:den>
          </m:f>
          <m:d>
            <m:dPr>
              <m:begChr m:val="["/>
              <m:endChr m:val="]"/>
              <m:ctrlPr>
                <w:rPr>
                  <w:rFonts w:ascii="Cambria Math" w:hAnsi="Cambria Math"/>
                  <w:bCs/>
                </w:rPr>
              </m:ctrlPr>
            </m:dPr>
            <m:e>
              <m:r>
                <m:rPr>
                  <m:sty m:val="b"/>
                </m:rPr>
                <w:rPr>
                  <w:rFonts w:ascii="Cambria Math" w:hAnsi="Cambria Math"/>
                </w:rPr>
                <m:t>1−</m:t>
              </m:r>
              <m:sSup>
                <m:sSupPr>
                  <m:ctrlPr>
                    <w:rPr>
                      <w:rFonts w:ascii="Cambria Math" w:hAnsi="Cambria Math"/>
                      <w:bCs/>
                    </w:rPr>
                  </m:ctrlPr>
                </m:sSupPr>
                <m:e>
                  <m:d>
                    <m:dPr>
                      <m:ctrlPr>
                        <w:rPr>
                          <w:rFonts w:ascii="Cambria Math" w:hAnsi="Cambria Math"/>
                          <w:bCs/>
                        </w:rPr>
                      </m:ctrlPr>
                    </m:dPr>
                    <m:e>
                      <m:f>
                        <m:fPr>
                          <m:ctrlPr>
                            <w:rPr>
                              <w:rFonts w:ascii="Cambria Math" w:hAnsi="Cambria Math"/>
                              <w:bCs/>
                            </w:rPr>
                          </m:ctrlPr>
                        </m:fPr>
                        <m:num>
                          <m:r>
                            <m:rPr>
                              <m:sty m:val="b"/>
                            </m:rPr>
                            <w:rPr>
                              <w:rFonts w:ascii="Cambria Math" w:hAnsi="Cambria Math"/>
                            </w:rPr>
                            <m:t>1+g</m:t>
                          </m:r>
                          <m:ctrlPr>
                            <w:rPr>
                              <w:rFonts w:ascii="Cambria Math" w:hAnsi="Cambria Math"/>
                              <w:bCs/>
                            </w:rPr>
                          </m:ctrlPr>
                        </m:num>
                        <m:den>
                          <m:r>
                            <m:rPr>
                              <m:sty m:val="b"/>
                            </m:rPr>
                            <w:rPr>
                              <w:rFonts w:ascii="Cambria Math" w:hAnsi="Cambria Math"/>
                            </w:rPr>
                            <m:t>1+r</m:t>
                          </m:r>
                          <m:ctrlPr>
                            <w:rPr>
                              <w:rFonts w:ascii="Cambria Math" w:hAnsi="Cambria Math"/>
                              <w:bCs/>
                            </w:rPr>
                          </m:ctrlPr>
                        </m:den>
                      </m:f>
                      <m:ctrlPr>
                        <w:rPr>
                          <w:rFonts w:ascii="Cambria Math" w:hAnsi="Cambria Math"/>
                          <w:bCs/>
                        </w:rPr>
                      </m:ctrlPr>
                    </m:e>
                  </m:d>
                  <m:ctrlPr>
                    <w:rPr>
                      <w:rFonts w:ascii="Cambria Math" w:hAnsi="Cambria Math"/>
                      <w:bCs/>
                    </w:rPr>
                  </m:ctrlPr>
                </m:e>
                <m:sup>
                  <m:r>
                    <m:rPr>
                      <m:sty m:val="b"/>
                    </m:rPr>
                    <w:rPr>
                      <w:rFonts w:ascii="Cambria Math" w:hAnsi="Cambria Math"/>
                    </w:rPr>
                    <m:t>t</m:t>
                  </m:r>
                  <m:ctrlPr>
                    <w:rPr>
                      <w:rFonts w:ascii="Cambria Math" w:hAnsi="Cambria Math"/>
                      <w:bCs/>
                    </w:rPr>
                  </m:ctrlPr>
                </m:sup>
              </m:sSup>
              <m:ctrlPr>
                <w:rPr>
                  <w:rFonts w:ascii="Cambria Math" w:hAnsi="Cambria Math"/>
                  <w:bCs/>
                </w:rPr>
              </m:ctrlPr>
            </m:e>
          </m:d>
        </m:oMath>
      </m:oMathPara>
    </w:p>
    <w:p>
      <w:pPr>
        <w:widowControl/>
        <w:ind w:firstLine="1687" w:firstLineChars="600"/>
        <w:jc w:val="left"/>
        <w:rPr>
          <w:rFonts w:hAnsi="Cambria Math"/>
          <w:b w:val="0"/>
          <w:bCs/>
          <w:color w:val="FF0000"/>
        </w:rPr>
      </w:pPr>
      <m:oMathPara>
        <m:oMath>
          <m:r>
            <m:rPr>
              <m:sty m:val="b"/>
            </m:rPr>
            <w:rPr>
              <w:rFonts w:ascii="Cambria Math" w:hAnsi="Cambria Math"/>
            </w:rPr>
            <m:t>=</m:t>
          </m:r>
          <m:f>
            <m:fPr>
              <m:ctrlPr>
                <w:rPr>
                  <w:rFonts w:ascii="Cambria Math" w:hAnsi="Cambria Math"/>
                  <w:bCs/>
                  <w:color w:val="FF0000"/>
                </w:rPr>
              </m:ctrlPr>
            </m:fPr>
            <m:num>
              <m:r>
                <m:rPr>
                  <m:sty m:val="b"/>
                </m:rPr>
                <w:rPr>
                  <w:rFonts w:ascii="Cambria Math" w:hAnsi="Cambria Math"/>
                  <w:color w:val="FF0000"/>
                </w:rPr>
                <m:t>20</m:t>
              </m:r>
              <m:ctrlPr>
                <w:rPr>
                  <w:rFonts w:ascii="Cambria Math" w:hAnsi="Cambria Math"/>
                  <w:bCs/>
                  <w:color w:val="FF0000"/>
                </w:rPr>
              </m:ctrlPr>
            </m:num>
            <m:den>
              <m:r>
                <m:rPr>
                  <m:sty m:val="b"/>
                </m:rPr>
                <w:rPr>
                  <w:rFonts w:ascii="Cambria Math" w:hAnsi="Cambria Math"/>
                  <w:color w:val="FF0000"/>
                </w:rPr>
                <m:t>6%−5%</m:t>
              </m:r>
              <m:ctrlPr>
                <w:rPr>
                  <w:rFonts w:ascii="Cambria Math" w:hAnsi="Cambria Math"/>
                  <w:bCs/>
                  <w:color w:val="FF0000"/>
                </w:rPr>
              </m:ctrlPr>
            </m:den>
          </m:f>
          <m:d>
            <m:dPr>
              <m:begChr m:val="["/>
              <m:endChr m:val="]"/>
              <m:ctrlPr>
                <w:rPr>
                  <w:rFonts w:ascii="Cambria Math" w:hAnsi="Cambria Math"/>
                  <w:bCs/>
                  <w:color w:val="FF0000"/>
                </w:rPr>
              </m:ctrlPr>
            </m:dPr>
            <m:e>
              <m:r>
                <m:rPr>
                  <m:sty m:val="b"/>
                </m:rPr>
                <w:rPr>
                  <w:rFonts w:ascii="Cambria Math" w:hAnsi="Cambria Math"/>
                  <w:color w:val="FF0000"/>
                </w:rPr>
                <m:t>1−</m:t>
              </m:r>
              <m:sSup>
                <m:sSupPr>
                  <m:ctrlPr>
                    <w:rPr>
                      <w:rFonts w:ascii="Cambria Math" w:hAnsi="Cambria Math"/>
                      <w:bCs/>
                      <w:color w:val="FF0000"/>
                    </w:rPr>
                  </m:ctrlPr>
                </m:sSupPr>
                <m:e>
                  <m:d>
                    <m:dPr>
                      <m:ctrlPr>
                        <w:rPr>
                          <w:rFonts w:ascii="Cambria Math" w:hAnsi="Cambria Math"/>
                          <w:bCs/>
                          <w:color w:val="FF0000"/>
                        </w:rPr>
                      </m:ctrlPr>
                    </m:dPr>
                    <m:e>
                      <m:f>
                        <m:fPr>
                          <m:ctrlPr>
                            <w:rPr>
                              <w:rFonts w:ascii="Cambria Math" w:hAnsi="Cambria Math"/>
                              <w:bCs/>
                              <w:color w:val="FF0000"/>
                            </w:rPr>
                          </m:ctrlPr>
                        </m:fPr>
                        <m:num>
                          <m:r>
                            <m:rPr>
                              <m:sty m:val="b"/>
                            </m:rPr>
                            <w:rPr>
                              <w:rFonts w:ascii="Cambria Math" w:hAnsi="Cambria Math"/>
                              <w:color w:val="FF0000"/>
                            </w:rPr>
                            <m:t>1+5%</m:t>
                          </m:r>
                          <m:ctrlPr>
                            <w:rPr>
                              <w:rFonts w:ascii="Cambria Math" w:hAnsi="Cambria Math"/>
                              <w:bCs/>
                              <w:color w:val="FF0000"/>
                            </w:rPr>
                          </m:ctrlPr>
                        </m:num>
                        <m:den>
                          <m:r>
                            <m:rPr>
                              <m:sty m:val="b"/>
                            </m:rPr>
                            <w:rPr>
                              <w:rFonts w:ascii="Cambria Math" w:hAnsi="Cambria Math"/>
                              <w:color w:val="FF0000"/>
                            </w:rPr>
                            <m:t>1+6%</m:t>
                          </m:r>
                          <m:ctrlPr>
                            <w:rPr>
                              <w:rFonts w:ascii="Cambria Math" w:hAnsi="Cambria Math"/>
                              <w:bCs/>
                              <w:color w:val="FF0000"/>
                            </w:rPr>
                          </m:ctrlPr>
                        </m:den>
                      </m:f>
                      <m:ctrlPr>
                        <w:rPr>
                          <w:rFonts w:ascii="Cambria Math" w:hAnsi="Cambria Math"/>
                          <w:bCs/>
                          <w:color w:val="FF0000"/>
                        </w:rPr>
                      </m:ctrlPr>
                    </m:e>
                  </m:d>
                  <m:ctrlPr>
                    <w:rPr>
                      <w:rFonts w:ascii="Cambria Math" w:hAnsi="Cambria Math"/>
                      <w:bCs/>
                      <w:color w:val="FF0000"/>
                    </w:rPr>
                  </m:ctrlPr>
                </m:e>
                <m:sup>
                  <m:r>
                    <m:rPr>
                      <m:sty m:val="b"/>
                    </m:rPr>
                    <w:rPr>
                      <w:rFonts w:ascii="Cambria Math" w:hAnsi="Cambria Math"/>
                      <w:color w:val="FF0000"/>
                    </w:rPr>
                    <m:t>25</m:t>
                  </m:r>
                  <m:ctrlPr>
                    <w:rPr>
                      <w:rFonts w:ascii="Cambria Math" w:hAnsi="Cambria Math"/>
                      <w:bCs/>
                      <w:color w:val="FF0000"/>
                    </w:rPr>
                  </m:ctrlPr>
                </m:sup>
              </m:sSup>
              <m:ctrlPr>
                <w:rPr>
                  <w:rFonts w:ascii="Cambria Math" w:hAnsi="Cambria Math"/>
                  <w:bCs/>
                  <w:color w:val="FF0000"/>
                </w:rPr>
              </m:ctrlPr>
            </m:e>
          </m:d>
        </m:oMath>
      </m:oMathPara>
    </w:p>
    <w:p>
      <w:pPr>
        <w:widowControl/>
        <w:ind w:firstLine="1687" w:firstLineChars="600"/>
        <w:jc w:val="left"/>
        <w:rPr>
          <w:b w:val="0"/>
          <w:bCs/>
        </w:rPr>
      </w:pPr>
      <m:oMathPara>
        <m:oMath>
          <m:r>
            <m:rPr>
              <m:sty m:val="b"/>
            </m:rPr>
            <w:rPr>
              <w:rFonts w:ascii="Cambria Math" w:hAnsi="Cambria Math"/>
            </w:rPr>
            <m:t>=421.97</m:t>
          </m:r>
          <m:r>
            <m:rPr>
              <m:sty m:val="b"/>
            </m:rPr>
            <w:rPr>
              <w:rFonts w:hint="eastAsia" w:ascii="Cambria Math" w:hAnsi="Cambria Math"/>
            </w:rPr>
            <m:t>（万元）</m:t>
          </m:r>
        </m:oMath>
      </m:oMathPara>
    </w:p>
    <w:p>
      <w:pPr>
        <w:widowControl/>
        <w:numPr>
          <w:ilvl w:val="0"/>
          <w:numId w:val="6"/>
        </w:numPr>
        <w:jc w:val="left"/>
      </w:pPr>
      <w:r>
        <w:rPr>
          <w:rFonts w:hint="eastAsia"/>
        </w:rPr>
        <w:t>将“郑先生未来</w:t>
      </w:r>
      <w:r>
        <w:t>25</w:t>
      </w:r>
      <w:r>
        <w:rPr>
          <w:rFonts w:hint="eastAsia"/>
        </w:rPr>
        <w:t>年的净收入为</w:t>
      </w:r>
      <w:r>
        <w:t>443.0663-200.7978=242.2685</w:t>
      </w:r>
      <w:r>
        <w:rPr>
          <w:rFonts w:hint="eastAsia"/>
        </w:rPr>
        <w:t>（万元）。</w:t>
      </w:r>
      <w:r>
        <w:t xml:space="preserve"> </w:t>
      </w:r>
      <w:r>
        <w:rPr>
          <w:rFonts w:hint="eastAsia"/>
        </w:rPr>
        <w:t>按照生命价值法，郑先生需要寿险保额为</w:t>
      </w:r>
      <w:r>
        <w:t>242.2685</w:t>
      </w:r>
      <w:r>
        <w:rPr>
          <w:rFonts w:hint="eastAsia"/>
        </w:rPr>
        <w:t>万元。”改为“郑先生未来</w:t>
      </w:r>
      <w:r>
        <w:t>25</w:t>
      </w:r>
      <w:r>
        <w:rPr>
          <w:rFonts w:hint="eastAsia"/>
        </w:rPr>
        <w:t>年的净收入为</w:t>
      </w:r>
      <w:r>
        <w:rPr>
          <w:color w:val="FF0000"/>
        </w:rPr>
        <w:t>421.97</w:t>
      </w:r>
      <w:r>
        <w:t>-200.7978=</w:t>
      </w:r>
      <w:r>
        <w:rPr>
          <w:color w:val="FF0000"/>
        </w:rPr>
        <w:t>221.1722</w:t>
      </w:r>
      <w:r>
        <w:rPr>
          <w:rFonts w:hint="eastAsia"/>
        </w:rPr>
        <w:t>（万元）。</w:t>
      </w:r>
      <w:r>
        <w:t xml:space="preserve"> </w:t>
      </w:r>
      <w:r>
        <w:rPr>
          <w:rFonts w:hint="eastAsia"/>
        </w:rPr>
        <w:t>按照生命价值法，郑先生需要寿险保额为</w:t>
      </w:r>
      <w:r>
        <w:rPr>
          <w:color w:val="FF0000"/>
        </w:rPr>
        <w:t>221.1722</w:t>
      </w:r>
      <w:r>
        <w:rPr>
          <w:rFonts w:hint="eastAsia"/>
        </w:rPr>
        <w:t>万元。”改后页面如下</w:t>
      </w:r>
    </w:p>
    <w:p>
      <w:pPr>
        <w:widowControl/>
        <w:jc w:val="left"/>
      </w:pPr>
      <w:r>
        <w:drawing>
          <wp:inline distT="0" distB="0" distL="0" distR="0">
            <wp:extent cx="5274310" cy="2646680"/>
            <wp:effectExtent l="0" t="0" r="2540" b="1270"/>
            <wp:docPr id="4" name="图片 4" descr="1634804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480454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646680"/>
                    </a:xfrm>
                    <a:prstGeom prst="rect">
                      <a:avLst/>
                    </a:prstGeom>
                    <a:noFill/>
                    <a:ln>
                      <a:noFill/>
                    </a:ln>
                  </pic:spPr>
                </pic:pic>
              </a:graphicData>
            </a:graphic>
          </wp:inline>
        </w:drawing>
      </w:r>
    </w:p>
    <w:p>
      <w:pPr>
        <w:ind w:firstLine="643" w:firstLineChars="200"/>
        <w:rPr>
          <w:sz w:val="32"/>
          <w:szCs w:val="32"/>
        </w:rPr>
      </w:pPr>
    </w:p>
    <w:p>
      <w:pPr>
        <w:widowControl/>
        <w:numPr>
          <w:ilvl w:val="0"/>
          <w:numId w:val="5"/>
        </w:numPr>
        <w:jc w:val="left"/>
      </w:pPr>
      <w:r>
        <w:rPr>
          <w:rFonts w:hint="eastAsia"/>
        </w:rPr>
        <w:t>第</w:t>
      </w:r>
      <w:r>
        <w:t>198</w:t>
      </w:r>
      <w:r>
        <w:rPr>
          <w:rFonts w:hint="eastAsia"/>
        </w:rPr>
        <w:t>页【例</w:t>
      </w:r>
      <w:r>
        <w:t>6-1</w:t>
      </w:r>
      <w:r>
        <w:rPr>
          <w:rFonts w:hint="eastAsia"/>
        </w:rPr>
        <w:t>】</w:t>
      </w:r>
    </w:p>
    <w:p>
      <w:pPr>
        <w:widowControl/>
        <w:jc w:val="left"/>
      </w:pPr>
      <w:r>
        <w:rPr>
          <w:rFonts w:hint="eastAsia"/>
        </w:rPr>
        <w:t>将“实际税后收入为</w:t>
      </w:r>
      <w:r>
        <w:t>:250000-16800=233200(</w:t>
      </w:r>
      <w:r>
        <w:rPr>
          <w:rFonts w:hint="eastAsia"/>
        </w:rPr>
        <w:t>元</w:t>
      </w:r>
      <w:r>
        <w:t xml:space="preserve">) </w:t>
      </w:r>
    </w:p>
    <w:p>
      <w:pPr>
        <w:widowControl/>
        <w:ind w:firstLine="562" w:firstLineChars="200"/>
        <w:jc w:val="left"/>
      </w:pPr>
      <w:r>
        <w:rPr>
          <w:rFonts w:hint="eastAsia"/>
        </w:rPr>
        <w:t>方案二比方案一节税</w:t>
      </w:r>
      <w:r>
        <w:t xml:space="preserve"> 111200</w:t>
      </w:r>
      <w:r>
        <w:rPr>
          <w:rFonts w:hint="eastAsia"/>
        </w:rPr>
        <w:t>元</w:t>
      </w:r>
      <w:r>
        <w:rPr>
          <w:rFonts w:hint="eastAsia" w:ascii="宋体" w:hAnsi="宋体" w:cs="宋体"/>
          <w:color w:val="000000"/>
          <w:kern w:val="0"/>
          <w:sz w:val="20"/>
          <w:szCs w:val="20"/>
        </w:rPr>
        <w:t>。</w:t>
      </w:r>
      <w:r>
        <w:rPr>
          <w:rFonts w:ascii="SSJ-PK74820001470" w:hAnsi="SSJ-PK74820001470" w:eastAsia="SSJ-PK74820001470" w:cs="SSJ-PK74820001470"/>
          <w:color w:val="000000"/>
          <w:kern w:val="0"/>
          <w:sz w:val="20"/>
          <w:szCs w:val="20"/>
        </w:rPr>
        <w:t xml:space="preserve"> </w:t>
      </w:r>
      <w:r>
        <w:rPr>
          <w:rFonts w:hint="eastAsia"/>
        </w:rPr>
        <w:t>”改为</w:t>
      </w:r>
    </w:p>
    <w:p>
      <w:pPr>
        <w:widowControl/>
        <w:jc w:val="left"/>
      </w:pPr>
      <w:r>
        <w:rPr>
          <w:rFonts w:hint="eastAsia"/>
        </w:rPr>
        <w:t>“实际税后收入为</w:t>
      </w:r>
      <w:r>
        <w:t>:</w:t>
      </w:r>
      <w:r>
        <w:rPr>
          <w:color w:val="FF0000"/>
        </w:rPr>
        <w:t>150000</w:t>
      </w:r>
      <w:r>
        <w:t>-16800=</w:t>
      </w:r>
      <w:r>
        <w:rPr>
          <w:color w:val="FF0000"/>
        </w:rPr>
        <w:t>133200</w:t>
      </w:r>
      <w:r>
        <w:t>(</w:t>
      </w:r>
      <w:r>
        <w:rPr>
          <w:rFonts w:hint="eastAsia"/>
        </w:rPr>
        <w:t>元</w:t>
      </w:r>
      <w:r>
        <w:t xml:space="preserve">) </w:t>
      </w:r>
    </w:p>
    <w:p>
      <w:pPr>
        <w:widowControl/>
        <w:ind w:firstLine="281" w:firstLineChars="100"/>
        <w:jc w:val="left"/>
      </w:pPr>
      <w:r>
        <w:rPr>
          <w:rFonts w:hint="eastAsia"/>
        </w:rPr>
        <w:t>方案二比方案一节税</w:t>
      </w:r>
      <w:r>
        <w:t xml:space="preserve"> </w:t>
      </w:r>
      <w:r>
        <w:rPr>
          <w:color w:val="FF0000"/>
        </w:rPr>
        <w:t>11120</w:t>
      </w:r>
      <w:r>
        <w:rPr>
          <w:rFonts w:hint="eastAsia"/>
        </w:rPr>
        <w:t>元”，改后页面如下：</w:t>
      </w:r>
    </w:p>
    <w:p>
      <w:pPr>
        <w:widowControl/>
        <w:jc w:val="left"/>
      </w:pPr>
      <w:r>
        <w:rPr>
          <w:rFonts w:ascii="宋体" w:hAnsi="宋体" w:cs="宋体"/>
          <w:kern w:val="0"/>
          <w:sz w:val="24"/>
        </w:rPr>
        <w:drawing>
          <wp:inline distT="0" distB="0" distL="0" distR="0">
            <wp:extent cx="5274310" cy="2192020"/>
            <wp:effectExtent l="0" t="0" r="2540"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2192020"/>
                    </a:xfrm>
                    <a:prstGeom prst="rect">
                      <a:avLst/>
                    </a:prstGeom>
                    <a:noFill/>
                    <a:ln>
                      <a:noFill/>
                    </a:ln>
                  </pic:spPr>
                </pic:pic>
              </a:graphicData>
            </a:graphic>
          </wp:inline>
        </w:drawing>
      </w:r>
    </w:p>
    <w:p/>
    <w:p>
      <w:pPr>
        <w:numPr>
          <w:ilvl w:val="0"/>
          <w:numId w:val="5"/>
        </w:numPr>
      </w:pPr>
      <w:r>
        <w:rPr>
          <w:rFonts w:hint="eastAsia"/>
        </w:rPr>
        <w:t>第</w:t>
      </w:r>
      <w:r>
        <w:t>202</w:t>
      </w:r>
      <w:r>
        <w:rPr>
          <w:rFonts w:hint="eastAsia"/>
        </w:rPr>
        <w:t>页【例</w:t>
      </w:r>
      <w:r>
        <w:t>6-10</w:t>
      </w:r>
      <w:r>
        <w:rPr>
          <w:rFonts w:hint="eastAsia"/>
        </w:rPr>
        <w:t>】</w:t>
      </w:r>
    </w:p>
    <w:p>
      <w:pPr>
        <w:widowControl/>
        <w:jc w:val="left"/>
      </w:pPr>
      <w:r>
        <w:rPr>
          <w:rFonts w:hint="eastAsia"/>
        </w:rPr>
        <w:t>将“每月收入</w:t>
      </w:r>
      <w:r>
        <w:t xml:space="preserve"> </w:t>
      </w:r>
      <w:r>
        <w:rPr>
          <w:rFonts w:hint="eastAsia"/>
        </w:rPr>
        <w:t>＝</w:t>
      </w:r>
      <w:r>
        <w:t>90000- [(90000-3744.83-3500) ×45% -13505] -3744.82= 62520.35(</w:t>
      </w:r>
      <w:r>
        <w:rPr>
          <w:rFonts w:hint="eastAsia"/>
        </w:rPr>
        <w:t>元</w:t>
      </w:r>
      <w:r>
        <w:t>)</w:t>
      </w:r>
      <w:r>
        <w:rPr>
          <w:rFonts w:hint="eastAsia"/>
        </w:rPr>
        <w:t>”改为“每月收入</w:t>
      </w:r>
      <w:r>
        <w:t xml:space="preserve"> </w:t>
      </w:r>
      <w:r>
        <w:rPr>
          <w:rFonts w:hint="eastAsia"/>
        </w:rPr>
        <w:t>＝</w:t>
      </w:r>
      <w:r>
        <w:t>90000- [(90000-3744.83-3500) ×45% -13505] -</w:t>
      </w:r>
      <w:r>
        <w:rPr>
          <w:color w:val="FF0000"/>
        </w:rPr>
        <w:t>3744.83</w:t>
      </w:r>
      <w:r>
        <w:t xml:space="preserve">= </w:t>
      </w:r>
      <w:r>
        <w:rPr>
          <w:color w:val="FF0000"/>
        </w:rPr>
        <w:t>62520.34</w:t>
      </w:r>
      <w:r>
        <w:t>(</w:t>
      </w:r>
      <w:r>
        <w:rPr>
          <w:rFonts w:hint="eastAsia"/>
        </w:rPr>
        <w:t>元</w:t>
      </w:r>
      <w:r>
        <w:t>)</w:t>
      </w:r>
      <w:r>
        <w:rPr>
          <w:rFonts w:hint="eastAsia"/>
        </w:rPr>
        <w:t>”</w:t>
      </w:r>
    </w:p>
    <w:p>
      <w:pPr>
        <w:widowControl/>
        <w:jc w:val="left"/>
      </w:pPr>
      <w:r>
        <w:rPr>
          <w:rFonts w:hint="eastAsia"/>
        </w:rPr>
        <w:t>将“全年收入</w:t>
      </w:r>
      <w:r>
        <w:t xml:space="preserve"> =62520.35</w:t>
      </w:r>
      <w:r>
        <w:rPr>
          <w:rFonts w:hint="eastAsia"/>
        </w:rPr>
        <w:t>×</w:t>
      </w:r>
      <w:r>
        <w:t>12+629505=1379749.2(</w:t>
      </w:r>
      <w:r>
        <w:rPr>
          <w:rFonts w:hint="eastAsia"/>
        </w:rPr>
        <w:t>元</w:t>
      </w:r>
      <w:r>
        <w:t>)</w:t>
      </w:r>
      <w:r>
        <w:rPr>
          <w:rFonts w:hint="eastAsia"/>
        </w:rPr>
        <w:t>”改为“全年收入</w:t>
      </w:r>
      <w:r>
        <w:t xml:space="preserve"> =</w:t>
      </w:r>
      <w:r>
        <w:rPr>
          <w:color w:val="FF0000"/>
        </w:rPr>
        <w:t>62520.34</w:t>
      </w:r>
      <w:r>
        <w:rPr>
          <w:rFonts w:hint="eastAsia"/>
        </w:rPr>
        <w:t>×</w:t>
      </w:r>
      <w:r>
        <w:t>12+629505=</w:t>
      </w:r>
      <w:r>
        <w:rPr>
          <w:color w:val="FF0000"/>
        </w:rPr>
        <w:t>1379749.12</w:t>
      </w:r>
      <w:r>
        <w:t>(</w:t>
      </w:r>
      <w:r>
        <w:rPr>
          <w:rFonts w:hint="eastAsia"/>
        </w:rPr>
        <w:t>元</w:t>
      </w:r>
      <w:r>
        <w:t>)</w:t>
      </w:r>
      <w:r>
        <w:rPr>
          <w:rFonts w:hint="eastAsia"/>
        </w:rPr>
        <w:t>”</w:t>
      </w:r>
    </w:p>
    <w:p>
      <w:pPr>
        <w:widowControl/>
        <w:jc w:val="left"/>
      </w:pPr>
      <w:r>
        <w:rPr>
          <w:rFonts w:hint="eastAsia"/>
        </w:rPr>
        <w:t>将“应纳税额</w:t>
      </w:r>
      <w:r>
        <w:t xml:space="preserve"> =1875062.04</w:t>
      </w:r>
      <w:r>
        <w:rPr>
          <w:rFonts w:hint="eastAsia"/>
        </w:rPr>
        <w:t>×</w:t>
      </w:r>
      <w:r>
        <w:t>45% -181920=661857.918(</w:t>
      </w:r>
      <w:r>
        <w:rPr>
          <w:rFonts w:hint="eastAsia"/>
        </w:rPr>
        <w:t>元</w:t>
      </w:r>
      <w:r>
        <w:t xml:space="preserve">) </w:t>
      </w:r>
    </w:p>
    <w:p>
      <w:pPr>
        <w:widowControl/>
        <w:jc w:val="left"/>
      </w:pPr>
      <w:r>
        <w:rPr>
          <w:rFonts w:hint="eastAsia"/>
        </w:rPr>
        <w:t>全年收入</w:t>
      </w:r>
      <w:r>
        <w:t xml:space="preserve"> =1080000+960000-661857.918=1378142.082(</w:t>
      </w:r>
      <w:r>
        <w:rPr>
          <w:rFonts w:hint="eastAsia"/>
        </w:rPr>
        <w:t>元</w:t>
      </w:r>
      <w:r>
        <w:t>)</w:t>
      </w:r>
      <w:r>
        <w:rPr>
          <w:rFonts w:hint="eastAsia"/>
        </w:rPr>
        <w:t>”改为</w:t>
      </w:r>
    </w:p>
    <w:p>
      <w:pPr>
        <w:widowControl/>
        <w:jc w:val="left"/>
      </w:pPr>
      <w:r>
        <w:rPr>
          <w:rFonts w:hint="eastAsia"/>
        </w:rPr>
        <w:t>“应纳税额</w:t>
      </w:r>
      <w:r>
        <w:t xml:space="preserve"> =1875062.04</w:t>
      </w:r>
      <w:r>
        <w:rPr>
          <w:rFonts w:hint="eastAsia"/>
        </w:rPr>
        <w:t>×</w:t>
      </w:r>
      <w:r>
        <w:t>45% -181920=</w:t>
      </w:r>
      <w:r>
        <w:rPr>
          <w:color w:val="FF0000"/>
        </w:rPr>
        <w:t>661857.92</w:t>
      </w:r>
      <w:r>
        <w:t>(</w:t>
      </w:r>
      <w:r>
        <w:rPr>
          <w:rFonts w:hint="eastAsia"/>
        </w:rPr>
        <w:t>元</w:t>
      </w:r>
      <w:r>
        <w:t xml:space="preserve">) </w:t>
      </w:r>
    </w:p>
    <w:p>
      <w:pPr>
        <w:widowControl/>
        <w:jc w:val="left"/>
      </w:pPr>
      <w:r>
        <w:rPr>
          <w:rFonts w:hint="eastAsia"/>
        </w:rPr>
        <w:t>全年收入</w:t>
      </w:r>
      <w:r>
        <w:t xml:space="preserve"> =1080000+960000-</w:t>
      </w:r>
      <w:r>
        <w:rPr>
          <w:color w:val="FF0000"/>
        </w:rPr>
        <w:t>661857.92-44937.96</w:t>
      </w:r>
      <w:r>
        <w:t>=</w:t>
      </w:r>
      <w:r>
        <w:rPr>
          <w:color w:val="FF0000"/>
        </w:rPr>
        <w:t>1333204.12</w:t>
      </w:r>
      <w:r>
        <w:t>(</w:t>
      </w:r>
      <w:r>
        <w:rPr>
          <w:rFonts w:hint="eastAsia"/>
        </w:rPr>
        <w:t>元</w:t>
      </w:r>
      <w:r>
        <w:t>)</w:t>
      </w:r>
      <w:r>
        <w:rPr>
          <w:rFonts w:hint="eastAsia"/>
        </w:rPr>
        <w:t>”，改后页面如下：</w:t>
      </w:r>
    </w:p>
    <w:p/>
    <w:p>
      <w:pPr>
        <w:rPr>
          <w:rFonts w:ascii="宋体" w:hAnsi="宋体" w:cs="宋体"/>
          <w:kern w:val="0"/>
          <w:sz w:val="24"/>
        </w:rPr>
      </w:pPr>
      <w:r>
        <w:rPr>
          <w:rFonts w:ascii="宋体" w:hAnsi="宋体" w:cs="宋体"/>
          <w:kern w:val="0"/>
          <w:sz w:val="24"/>
        </w:rPr>
        <w:drawing>
          <wp:inline distT="0" distB="0" distL="0" distR="0">
            <wp:extent cx="5274310" cy="3204210"/>
            <wp:effectExtent l="0" t="0" r="254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204210"/>
                    </a:xfrm>
                    <a:prstGeom prst="rect">
                      <a:avLst/>
                    </a:prstGeom>
                    <a:noFill/>
                    <a:ln>
                      <a:noFill/>
                    </a:ln>
                  </pic:spPr>
                </pic:pic>
              </a:graphicData>
            </a:graphic>
          </wp:inline>
        </w:drawing>
      </w:r>
    </w:p>
    <w:p>
      <w:pPr>
        <w:rPr>
          <w:rFonts w:ascii="宋体" w:hAnsi="宋体" w:cs="宋体"/>
          <w:kern w:val="0"/>
          <w:sz w:val="24"/>
        </w:rPr>
      </w:pPr>
    </w:p>
    <w:p>
      <w:pPr>
        <w:numPr>
          <w:ilvl w:val="0"/>
          <w:numId w:val="5"/>
        </w:numPr>
      </w:pPr>
      <w:r>
        <w:rPr>
          <w:rFonts w:hint="eastAsia"/>
        </w:rPr>
        <w:t>第</w:t>
      </w:r>
      <w:r>
        <w:t>269</w:t>
      </w:r>
      <w:r>
        <w:rPr>
          <w:rFonts w:hint="eastAsia"/>
        </w:rPr>
        <w:t>页</w:t>
      </w:r>
    </w:p>
    <w:p>
      <w:r>
        <w:rPr>
          <w:rFonts w:hint="eastAsia"/>
        </w:rPr>
        <w:t>将“②净资产利润率。净资产利润率</w:t>
      </w:r>
      <w:r>
        <w:t xml:space="preserve"> </w:t>
      </w:r>
      <w:r>
        <w:rPr>
          <w:rFonts w:hint="eastAsia"/>
        </w:rPr>
        <w:t>＝净利润／资产平均总额。净资产利润率反映了企业总资产的利用效率，指标越高，说明企业全部资产的盈利能力越强。”改为“②</w:t>
      </w:r>
      <w:r>
        <w:rPr>
          <w:rFonts w:hint="eastAsia"/>
          <w:color w:val="FF0000"/>
        </w:rPr>
        <w:t>资产收益率</w:t>
      </w:r>
      <w:r>
        <w:rPr>
          <w:rFonts w:hint="eastAsia"/>
        </w:rPr>
        <w:t>。</w:t>
      </w:r>
      <w:r>
        <w:t xml:space="preserve"> </w:t>
      </w:r>
      <w:r>
        <w:rPr>
          <w:rFonts w:hint="eastAsia"/>
          <w:color w:val="FF0000"/>
        </w:rPr>
        <w:t>资产收益率</w:t>
      </w:r>
      <w:r>
        <w:rPr>
          <w:rFonts w:hint="eastAsia"/>
        </w:rPr>
        <w:t>＝净利润／</w:t>
      </w:r>
      <w:r>
        <w:rPr>
          <w:rFonts w:hint="eastAsia"/>
          <w:color w:val="FF0000"/>
        </w:rPr>
        <w:t>资产总额</w:t>
      </w:r>
      <w:r>
        <w:rPr>
          <w:rFonts w:hint="eastAsia"/>
        </w:rPr>
        <w:t>。</w:t>
      </w:r>
      <w:r>
        <w:rPr>
          <w:rFonts w:hint="eastAsia"/>
          <w:color w:val="FF0000"/>
        </w:rPr>
        <w:t>资产收益率</w:t>
      </w:r>
      <w:r>
        <w:rPr>
          <w:rFonts w:hint="eastAsia"/>
        </w:rPr>
        <w:t>反映了企业总资产的利用效率，指标越高，说明企业全部资产的盈利能力越强。”改后页面如下：</w:t>
      </w:r>
    </w:p>
    <w:p>
      <w:r>
        <w:drawing>
          <wp:inline distT="0" distB="0" distL="0" distR="0">
            <wp:extent cx="5267325" cy="485775"/>
            <wp:effectExtent l="0" t="0" r="9525" b="9525"/>
            <wp:docPr id="1" name="图片 1" descr="1634866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486670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67325" cy="485775"/>
                    </a:xfrm>
                    <a:prstGeom prst="rect">
                      <a:avLst/>
                    </a:prstGeom>
                    <a:noFill/>
                    <a:ln>
                      <a:noFill/>
                    </a:ln>
                  </pic:spPr>
                </pic:pic>
              </a:graphicData>
            </a:graphic>
          </wp:inline>
        </w:drawing>
      </w:r>
    </w:p>
    <w:p/>
    <w:p>
      <w:pPr>
        <w:rPr>
          <w:rFonts w:ascii="宋体" w:hAnsi="宋体" w:cs="宋体"/>
          <w:kern w:val="0"/>
          <w:sz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SSJ-PK74820001470">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77BD56"/>
    <w:multiLevelType w:val="singleLevel"/>
    <w:tmpl w:val="9B77BD56"/>
    <w:lvl w:ilvl="0" w:tentative="0">
      <w:start w:val="2"/>
      <w:numFmt w:val="decimal"/>
      <w:suff w:val="nothing"/>
      <w:lvlText w:val="（%1）"/>
      <w:lvlJc w:val="left"/>
      <w:pPr>
        <w:ind w:left="0" w:firstLine="0"/>
      </w:pPr>
      <w:rPr>
        <w:b/>
        <w:bCs w:val="0"/>
      </w:rPr>
    </w:lvl>
  </w:abstractNum>
  <w:abstractNum w:abstractNumId="1">
    <w:nsid w:val="C8597BA6"/>
    <w:multiLevelType w:val="multilevel"/>
    <w:tmpl w:val="C8597BA6"/>
    <w:lvl w:ilvl="0" w:tentative="0">
      <w:start w:val="3"/>
      <w:numFmt w:val="decimal"/>
      <w:lvlText w:val="%1."/>
      <w:lvlJc w:val="left"/>
      <w:pPr>
        <w:tabs>
          <w:tab w:val="left" w:pos="312"/>
        </w:tabs>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DBA157D"/>
    <w:multiLevelType w:val="multilevel"/>
    <w:tmpl w:val="1DBA15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5190260"/>
    <w:multiLevelType w:val="multilevel"/>
    <w:tmpl w:val="45190260"/>
    <w:lvl w:ilvl="0" w:tentative="0">
      <w:start w:val="1"/>
      <w:numFmt w:val="decimal"/>
      <w:lvlText w:val="%1."/>
      <w:lvlJc w:val="left"/>
      <w:pPr>
        <w:ind w:left="360" w:hanging="36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F1224D3"/>
    <w:multiLevelType w:val="multilevel"/>
    <w:tmpl w:val="4F1224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0EC562D"/>
    <w:multiLevelType w:val="singleLevel"/>
    <w:tmpl w:val="60EC562D"/>
    <w:lvl w:ilvl="0" w:tentative="0">
      <w:start w:val="1"/>
      <w:numFmt w:val="decimal"/>
      <w:lvlText w:val="%1."/>
      <w:lvlJc w:val="left"/>
      <w:pPr>
        <w:tabs>
          <w:tab w:val="left" w:pos="312"/>
        </w:tabs>
        <w:ind w:left="0" w:firstLine="0"/>
      </w:pPr>
    </w:lvl>
  </w:abstractNum>
  <w:num w:numId="1">
    <w:abstractNumId w:val="5"/>
    <w:lvlOverride w:ilvl="0">
      <w:startOverride w:val="1"/>
    </w:lvlOverride>
  </w:num>
  <w:num w:numId="2">
    <w:abstractNumId w:val="3"/>
  </w:num>
  <w:num w:numId="3">
    <w:abstractNumId w:val="1"/>
  </w:num>
  <w:num w:numId="4">
    <w:abstractNumId w:val="2"/>
  </w:num>
  <w:num w:numId="5">
    <w:abstractNumId w:val="4"/>
  </w:num>
  <w:num w:numId="6">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089"/>
    <w:rsid w:val="001C6BAB"/>
    <w:rsid w:val="00284B51"/>
    <w:rsid w:val="002A7421"/>
    <w:rsid w:val="003244A0"/>
    <w:rsid w:val="003A7089"/>
    <w:rsid w:val="003E3033"/>
    <w:rsid w:val="00591DC4"/>
    <w:rsid w:val="5EB860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b/>
      <w:kern w:val="2"/>
      <w:sz w:val="28"/>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 w:type="paragraph"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1537</Words>
  <Characters>2047</Characters>
  <Lines>15</Lines>
  <Paragraphs>4</Paragraphs>
  <TotalTime>7</TotalTime>
  <ScaleCrop>false</ScaleCrop>
  <LinksUpToDate>false</LinksUpToDate>
  <CharactersWithSpaces>2083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2022-03-25T02:13:00Z</dcterms:created>
  <dc:creator>郭 姗姗</dc:creator>
  <cp:lastModifiedBy>TIYA</cp:lastModifiedBy>
  <dcterms:modified xsi:type="dcterms:W3CDTF">2022-03-25T06:53:47Z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7A5F0A58DF9C4EE6A9AA31C96C27A3BA</vt:lpwstr>
  </property>
</Properties>
</file>